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817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7"/>
      </w:tblGrid>
      <w:tr w14:paraId="6DA67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177" w:type="dxa"/>
            <w:vAlign w:val="center"/>
          </w:tcPr>
          <w:p w14:paraId="0FB86E75">
            <w:pPr>
              <w:spacing w:line="360" w:lineRule="auto"/>
              <w:jc w:val="center"/>
              <w:rPr>
                <w:rFonts w:eastAsia="黑体"/>
                <w:spacing w:val="20"/>
                <w:sz w:val="32"/>
                <w:szCs w:val="32"/>
              </w:rPr>
            </w:pPr>
            <w:r>
              <w:rPr>
                <w:rFonts w:hint="eastAsia" w:eastAsia="黑体"/>
                <w:spacing w:val="20"/>
                <w:sz w:val="32"/>
              </w:rPr>
              <w:t>中国核学会</w:t>
            </w:r>
            <w:r>
              <w:rPr>
                <w:rFonts w:eastAsia="黑体"/>
                <w:spacing w:val="20"/>
                <w:sz w:val="32"/>
              </w:rPr>
              <w:t>标准</w:t>
            </w:r>
          </w:p>
        </w:tc>
      </w:tr>
      <w:tr w14:paraId="1DF46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8177" w:type="dxa"/>
            <w:vAlign w:val="center"/>
          </w:tcPr>
          <w:p w14:paraId="4DF319D9">
            <w:pPr>
              <w:spacing w:line="720" w:lineRule="auto"/>
              <w:jc w:val="center"/>
              <w:rPr>
                <w:rFonts w:eastAsia="黑体" w:cs="黑体"/>
                <w:spacing w:val="20"/>
                <w:sz w:val="44"/>
                <w:szCs w:val="44"/>
              </w:rPr>
            </w:pPr>
            <w:r>
              <w:rPr>
                <w:rFonts w:hint="eastAsia" w:eastAsia="黑体" w:cs="黑体"/>
                <w:spacing w:val="20"/>
                <w:sz w:val="44"/>
                <w:szCs w:val="44"/>
              </w:rPr>
              <w:t>高温气冷堆核动力厂用负压通风柜</w:t>
            </w:r>
          </w:p>
          <w:p w14:paraId="569D3F3C">
            <w:pPr>
              <w:spacing w:line="720" w:lineRule="auto"/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hint="eastAsia" w:eastAsia="黑体" w:cs="黑体"/>
                <w:spacing w:val="20"/>
                <w:sz w:val="44"/>
                <w:szCs w:val="44"/>
              </w:rPr>
              <w:t>（征求意见稿）</w:t>
            </w:r>
          </w:p>
        </w:tc>
      </w:tr>
      <w:tr w14:paraId="3BF09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8177" w:type="dxa"/>
            <w:vAlign w:val="center"/>
          </w:tcPr>
          <w:p w14:paraId="2DD01FED">
            <w:pPr>
              <w:spacing w:line="360" w:lineRule="auto"/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hint="eastAsia" w:eastAsia="黑体"/>
                <w:spacing w:val="20"/>
                <w:sz w:val="44"/>
                <w:szCs w:val="32"/>
              </w:rPr>
              <w:t>编制说明</w:t>
            </w:r>
          </w:p>
        </w:tc>
      </w:tr>
      <w:tr w14:paraId="122E4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8177" w:type="dxa"/>
            <w:vAlign w:val="center"/>
          </w:tcPr>
          <w:p w14:paraId="3C65DD7F">
            <w:pPr>
              <w:spacing w:line="360" w:lineRule="auto"/>
              <w:jc w:val="center"/>
              <w:rPr>
                <w:rFonts w:eastAsia="黑体"/>
                <w:color w:val="0070C0"/>
                <w:spacing w:val="20"/>
                <w:sz w:val="32"/>
              </w:rPr>
            </w:pPr>
            <w:r>
              <w:rPr>
                <w:rFonts w:hint="eastAsia" w:eastAsia="黑体"/>
                <w:color w:val="0070C0"/>
                <w:spacing w:val="20"/>
                <w:sz w:val="32"/>
              </w:rPr>
              <w:t>中核能源科技有限公司</w:t>
            </w:r>
          </w:p>
          <w:p w14:paraId="36B81488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pacing w:val="20"/>
                <w:sz w:val="32"/>
              </w:rPr>
              <w:t>2026</w:t>
            </w:r>
            <w:r>
              <w:rPr>
                <w:rFonts w:hint="eastAsia" w:eastAsia="黑体"/>
                <w:spacing w:val="20"/>
                <w:sz w:val="32"/>
              </w:rPr>
              <w:t>年</w:t>
            </w:r>
            <w:r>
              <w:rPr>
                <w:rFonts w:eastAsia="黑体"/>
                <w:spacing w:val="20"/>
                <w:sz w:val="32"/>
              </w:rPr>
              <w:t>7</w:t>
            </w:r>
            <w:r>
              <w:rPr>
                <w:rFonts w:hint="eastAsia" w:eastAsia="黑体"/>
                <w:spacing w:val="20"/>
                <w:sz w:val="32"/>
              </w:rPr>
              <w:t>月</w:t>
            </w:r>
          </w:p>
        </w:tc>
      </w:tr>
    </w:tbl>
    <w:p w14:paraId="486A32D6">
      <w:pPr>
        <w:snapToGrid w:val="0"/>
        <w:jc w:val="center"/>
        <w:rPr>
          <w:rFonts w:ascii="黑体" w:eastAsia="黑体"/>
          <w:spacing w:val="20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44A1A61">
      <w:pPr>
        <w:snapToGrid w:val="0"/>
        <w:jc w:val="center"/>
        <w:rPr>
          <w:rFonts w:ascii="黑体" w:eastAsia="黑体"/>
          <w:spacing w:val="20"/>
          <w:sz w:val="30"/>
          <w:szCs w:val="30"/>
        </w:rPr>
      </w:pPr>
    </w:p>
    <w:p w14:paraId="10C500EE">
      <w:pPr>
        <w:snapToGrid w:val="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pacing w:val="20"/>
          <w:sz w:val="32"/>
          <w:szCs w:val="30"/>
        </w:rPr>
        <w:t>高温气冷堆核动力厂用负压通风柜</w:t>
      </w:r>
    </w:p>
    <w:p w14:paraId="3525292A">
      <w:pPr>
        <w:numPr>
          <w:ilvl w:val="0"/>
          <w:numId w:val="1"/>
        </w:numPr>
        <w:spacing w:before="240" w:after="240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任务来源及计划要求</w:t>
      </w:r>
    </w:p>
    <w:p w14:paraId="3BDFA1F1"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  <w:lang w:val="zh-CN"/>
        </w:rPr>
        <w:t>本标准</w:t>
      </w:r>
      <w:r>
        <w:rPr>
          <w:rFonts w:hint="eastAsia" w:ascii="宋体" w:hAnsi="宋体"/>
          <w:kern w:val="0"/>
          <w:sz w:val="24"/>
          <w:lang w:val="zh-CN"/>
        </w:rPr>
        <w:t>制修订</w:t>
      </w:r>
      <w:r>
        <w:rPr>
          <w:rFonts w:ascii="宋体" w:hAnsi="宋体"/>
          <w:kern w:val="0"/>
          <w:sz w:val="24"/>
          <w:lang w:val="zh-CN"/>
        </w:rPr>
        <w:t>任务由</w:t>
      </w:r>
      <w:r>
        <w:rPr>
          <w:rFonts w:hint="eastAsia" w:ascii="宋体" w:hAnsi="宋体"/>
          <w:kern w:val="0"/>
          <w:sz w:val="24"/>
          <w:lang w:val="zh-CN"/>
        </w:rPr>
        <w:t>中国核学会《关于下达202</w:t>
      </w:r>
      <w:r>
        <w:rPr>
          <w:rFonts w:hint="eastAsia" w:ascii="宋体" w:hAnsi="宋体"/>
          <w:kern w:val="0"/>
          <w:sz w:val="24"/>
        </w:rPr>
        <w:t>6</w:t>
      </w:r>
      <w:r>
        <w:rPr>
          <w:rFonts w:hint="eastAsia" w:ascii="宋体" w:hAnsi="宋体"/>
          <w:kern w:val="0"/>
          <w:sz w:val="24"/>
          <w:lang w:val="zh-CN"/>
        </w:rPr>
        <w:t>年度第</w:t>
      </w:r>
      <w:r>
        <w:rPr>
          <w:rFonts w:hint="eastAsia" w:ascii="宋体" w:hAnsi="宋体"/>
          <w:kern w:val="0"/>
          <w:sz w:val="24"/>
        </w:rPr>
        <w:t>二</w:t>
      </w:r>
      <w:r>
        <w:rPr>
          <w:rFonts w:hint="eastAsia" w:ascii="宋体" w:hAnsi="宋体"/>
          <w:kern w:val="0"/>
          <w:sz w:val="24"/>
          <w:lang w:val="zh-CN"/>
        </w:rPr>
        <w:t>批核学会团体标准立项计划的通知》（中核学发【202</w:t>
      </w:r>
      <w:r>
        <w:rPr>
          <w:rFonts w:hint="eastAsia" w:ascii="宋体" w:hAnsi="宋体"/>
          <w:kern w:val="0"/>
          <w:sz w:val="24"/>
        </w:rPr>
        <w:t>6</w:t>
      </w:r>
      <w:r>
        <w:rPr>
          <w:rFonts w:hint="eastAsia" w:ascii="宋体" w:hAnsi="宋体"/>
          <w:kern w:val="0"/>
          <w:sz w:val="24"/>
          <w:lang w:val="zh-CN"/>
        </w:rPr>
        <w:t>】</w:t>
      </w:r>
      <w:r>
        <w:rPr>
          <w:rFonts w:hint="eastAsia" w:ascii="宋体" w:hAnsi="宋体"/>
          <w:kern w:val="0"/>
          <w:sz w:val="24"/>
        </w:rPr>
        <w:t>115</w:t>
      </w:r>
      <w:r>
        <w:rPr>
          <w:rFonts w:hint="eastAsia" w:ascii="宋体" w:hAnsi="宋体"/>
          <w:kern w:val="0"/>
          <w:sz w:val="24"/>
          <w:lang w:val="zh-CN"/>
        </w:rPr>
        <w:t>号）</w:t>
      </w:r>
      <w:r>
        <w:rPr>
          <w:rFonts w:ascii="宋体" w:hAnsi="宋体"/>
          <w:kern w:val="0"/>
          <w:sz w:val="24"/>
          <w:lang w:val="zh-CN"/>
        </w:rPr>
        <w:t>，</w:t>
      </w:r>
      <w:r>
        <w:rPr>
          <w:rFonts w:hint="eastAsia" w:ascii="宋体" w:hAnsi="宋体"/>
          <w:kern w:val="0"/>
          <w:sz w:val="24"/>
          <w:lang w:val="zh-CN"/>
        </w:rPr>
        <w:t>计划</w:t>
      </w:r>
      <w:r>
        <w:rPr>
          <w:rFonts w:ascii="宋体" w:hAnsi="宋体"/>
          <w:kern w:val="0"/>
          <w:sz w:val="24"/>
          <w:lang w:val="zh-CN"/>
        </w:rPr>
        <w:t>编号</w:t>
      </w:r>
      <w:r>
        <w:rPr>
          <w:rFonts w:ascii="宋体" w:hAnsi="宋体"/>
          <w:kern w:val="0"/>
          <w:sz w:val="24"/>
        </w:rPr>
        <w:t>为</w:t>
      </w:r>
      <w:r>
        <w:rPr>
          <w:rFonts w:hint="eastAsia" w:ascii="宋体" w:hAnsi="宋体"/>
          <w:kern w:val="0"/>
          <w:sz w:val="24"/>
        </w:rPr>
        <w:t>HTB2026</w:t>
      </w:r>
      <w:r>
        <w:rPr>
          <w:rFonts w:ascii="宋体" w:hAnsi="宋体"/>
          <w:kern w:val="0"/>
          <w:sz w:val="24"/>
        </w:rPr>
        <w:t>014，</w:t>
      </w:r>
      <w:r>
        <w:rPr>
          <w:rFonts w:hint="eastAsia" w:ascii="宋体" w:hAnsi="宋体"/>
          <w:kern w:val="0"/>
          <w:sz w:val="24"/>
        </w:rPr>
        <w:t>标准计划名称为《高温气冷堆核动力厂用负压通风柜》，</w:t>
      </w:r>
      <w:r>
        <w:rPr>
          <w:rFonts w:ascii="宋体" w:hAnsi="宋体"/>
          <w:kern w:val="0"/>
          <w:sz w:val="24"/>
        </w:rPr>
        <w:t>由</w:t>
      </w:r>
      <w:r>
        <w:rPr>
          <w:rFonts w:hint="eastAsia" w:ascii="宋体" w:hAnsi="宋体"/>
          <w:kern w:val="0"/>
          <w:sz w:val="24"/>
        </w:rPr>
        <w:t>中核能源科技有限公司</w:t>
      </w:r>
      <w:r>
        <w:rPr>
          <w:rFonts w:hint="eastAsia" w:ascii="宋体" w:hAnsi="宋体"/>
          <w:kern w:val="0"/>
          <w:sz w:val="24"/>
          <w:lang w:eastAsia="zh-CN"/>
        </w:rPr>
        <w:t>、清华大学核能与新能源技术研究院</w:t>
      </w:r>
      <w:r>
        <w:rPr>
          <w:rFonts w:hint="eastAsia" w:ascii="宋体" w:hAnsi="宋体"/>
          <w:kern w:val="0"/>
          <w:sz w:val="24"/>
        </w:rPr>
        <w:t>起草</w:t>
      </w:r>
      <w:r>
        <w:rPr>
          <w:rFonts w:ascii="宋体" w:hAnsi="宋体"/>
          <w:kern w:val="0"/>
          <w:sz w:val="24"/>
        </w:rPr>
        <w:t>，</w:t>
      </w:r>
      <w:r>
        <w:rPr>
          <w:rFonts w:hint="eastAsia" w:ascii="宋体" w:hAnsi="宋体"/>
          <w:kern w:val="0"/>
          <w:sz w:val="24"/>
        </w:rPr>
        <w:t>要求</w:t>
      </w:r>
      <w:r>
        <w:rPr>
          <w:rFonts w:ascii="宋体" w:hAnsi="宋体"/>
          <w:kern w:val="0"/>
          <w:sz w:val="24"/>
        </w:rPr>
        <w:t>于2026年12月完成</w:t>
      </w:r>
      <w:r>
        <w:rPr>
          <w:rFonts w:hint="eastAsia" w:ascii="宋体" w:hAnsi="宋体"/>
          <w:kern w:val="0"/>
          <w:sz w:val="24"/>
        </w:rPr>
        <w:t>本项目</w:t>
      </w:r>
      <w:r>
        <w:rPr>
          <w:rFonts w:ascii="宋体" w:hAnsi="宋体"/>
          <w:kern w:val="0"/>
          <w:sz w:val="24"/>
        </w:rPr>
        <w:t>。</w:t>
      </w:r>
    </w:p>
    <w:p w14:paraId="419FF928">
      <w:pPr>
        <w:numPr>
          <w:ilvl w:val="0"/>
          <w:numId w:val="1"/>
        </w:numPr>
        <w:spacing w:before="240" w:after="240"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标准编制组组成</w:t>
      </w:r>
    </w:p>
    <w:p w14:paraId="768EBE23">
      <w:pPr>
        <w:spacing w:line="360" w:lineRule="auto"/>
        <w:ind w:firstLine="480" w:firstLineChars="200"/>
        <w:rPr>
          <w:rFonts w:ascii="宋体" w:hAnsi="宋体"/>
          <w:kern w:val="0"/>
          <w:sz w:val="24"/>
          <w:lang w:val="zh-CN"/>
        </w:rPr>
      </w:pPr>
      <w:r>
        <w:rPr>
          <w:rFonts w:hint="eastAsia" w:ascii="宋体" w:hAnsi="宋体"/>
          <w:kern w:val="0"/>
          <w:sz w:val="24"/>
          <w:lang w:val="zh-CN"/>
        </w:rPr>
        <w:t>本标准起草工作组成员及任务分工见表1。</w:t>
      </w:r>
    </w:p>
    <w:p w14:paraId="256D9540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表1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kern w:val="0"/>
          <w:sz w:val="24"/>
          <w:lang w:val="zh-CN"/>
        </w:rPr>
        <w:t>起草工作</w:t>
      </w:r>
      <w:r>
        <w:rPr>
          <w:rFonts w:hint="eastAsia" w:ascii="宋体" w:hAnsi="宋体"/>
          <w:sz w:val="24"/>
        </w:rPr>
        <w:t>组成员及</w:t>
      </w:r>
      <w:r>
        <w:rPr>
          <w:rFonts w:hint="eastAsia" w:ascii="宋体" w:hAnsi="宋体"/>
          <w:kern w:val="0"/>
          <w:sz w:val="24"/>
          <w:lang w:val="zh-CN"/>
        </w:rPr>
        <w:t>任务</w:t>
      </w:r>
      <w:r>
        <w:rPr>
          <w:rFonts w:hint="eastAsia" w:ascii="宋体" w:hAnsi="宋体"/>
          <w:sz w:val="24"/>
        </w:rPr>
        <w:t>分工</w:t>
      </w: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2977"/>
        <w:gridCol w:w="1843"/>
        <w:gridCol w:w="1751"/>
      </w:tblGrid>
      <w:tr w14:paraId="2653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7435D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34" w:type="dxa"/>
          </w:tcPr>
          <w:p w14:paraId="67DB677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977" w:type="dxa"/>
          </w:tcPr>
          <w:p w14:paraId="1E24855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843" w:type="dxa"/>
          </w:tcPr>
          <w:p w14:paraId="5934D40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751" w:type="dxa"/>
          </w:tcPr>
          <w:p w14:paraId="45C3EC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任务</w:t>
            </w:r>
          </w:p>
        </w:tc>
      </w:tr>
      <w:tr w14:paraId="3A2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A8F902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34" w:type="dxa"/>
          </w:tcPr>
          <w:p w14:paraId="1EF73D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刘彤</w:t>
            </w:r>
          </w:p>
        </w:tc>
        <w:tc>
          <w:tcPr>
            <w:tcW w:w="2977" w:type="dxa"/>
          </w:tcPr>
          <w:p w14:paraId="4B013CC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中核能源科技有限公司</w:t>
            </w:r>
          </w:p>
        </w:tc>
        <w:tc>
          <w:tcPr>
            <w:tcW w:w="1843" w:type="dxa"/>
          </w:tcPr>
          <w:p w14:paraId="318367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高级工程师</w:t>
            </w:r>
          </w:p>
        </w:tc>
        <w:tc>
          <w:tcPr>
            <w:tcW w:w="1751" w:type="dxa"/>
          </w:tcPr>
          <w:p w14:paraId="4ADB2E2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编制全文</w:t>
            </w:r>
          </w:p>
        </w:tc>
      </w:tr>
      <w:tr w14:paraId="3E116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B423FA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34" w:type="dxa"/>
          </w:tcPr>
          <w:p w14:paraId="0D9AFBD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朱江</w:t>
            </w:r>
          </w:p>
        </w:tc>
        <w:tc>
          <w:tcPr>
            <w:tcW w:w="2977" w:type="dxa"/>
          </w:tcPr>
          <w:p w14:paraId="5EFB73F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清华大学核能与新能源技术研究院</w:t>
            </w:r>
          </w:p>
        </w:tc>
        <w:tc>
          <w:tcPr>
            <w:tcW w:w="1843" w:type="dxa"/>
          </w:tcPr>
          <w:p w14:paraId="2C52E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高级工程师</w:t>
            </w:r>
          </w:p>
        </w:tc>
        <w:tc>
          <w:tcPr>
            <w:tcW w:w="1751" w:type="dxa"/>
          </w:tcPr>
          <w:p w14:paraId="4E309C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审核全文</w:t>
            </w:r>
          </w:p>
        </w:tc>
      </w:tr>
      <w:tr w14:paraId="4CB6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B66BF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34" w:type="dxa"/>
          </w:tcPr>
          <w:p w14:paraId="13279C9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郭悦彤</w:t>
            </w:r>
          </w:p>
        </w:tc>
        <w:tc>
          <w:tcPr>
            <w:tcW w:w="2977" w:type="dxa"/>
          </w:tcPr>
          <w:p w14:paraId="213D8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中核能源科技有限公司</w:t>
            </w:r>
          </w:p>
        </w:tc>
        <w:tc>
          <w:tcPr>
            <w:tcW w:w="1843" w:type="dxa"/>
          </w:tcPr>
          <w:p w14:paraId="59DCF5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助理工程师</w:t>
            </w:r>
          </w:p>
        </w:tc>
        <w:tc>
          <w:tcPr>
            <w:tcW w:w="1751" w:type="dxa"/>
          </w:tcPr>
          <w:p w14:paraId="1133CB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参与编制</w:t>
            </w:r>
          </w:p>
        </w:tc>
      </w:tr>
      <w:tr w14:paraId="632C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439380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34" w:type="dxa"/>
          </w:tcPr>
          <w:p w14:paraId="1F50769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蒲洋</w:t>
            </w:r>
          </w:p>
        </w:tc>
        <w:tc>
          <w:tcPr>
            <w:tcW w:w="2977" w:type="dxa"/>
          </w:tcPr>
          <w:p w14:paraId="36388F1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中核能源科技有限公司</w:t>
            </w:r>
          </w:p>
        </w:tc>
        <w:tc>
          <w:tcPr>
            <w:tcW w:w="1843" w:type="dxa"/>
          </w:tcPr>
          <w:p w14:paraId="0E26E2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高级工程师</w:t>
            </w:r>
          </w:p>
        </w:tc>
        <w:tc>
          <w:tcPr>
            <w:tcW w:w="1751" w:type="dxa"/>
          </w:tcPr>
          <w:p w14:paraId="00D4BE1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t>审定全文</w:t>
            </w:r>
          </w:p>
        </w:tc>
      </w:tr>
    </w:tbl>
    <w:p w14:paraId="21A400A4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编制过程</w:t>
      </w:r>
    </w:p>
    <w:p w14:paraId="0F618AE7">
      <w:pPr>
        <w:pStyle w:val="26"/>
        <w:spacing w:after="0" w:line="360" w:lineRule="auto"/>
        <w:ind w:firstLine="480" w:firstLineChars="200"/>
        <w:jc w:val="both"/>
      </w:pPr>
      <w:r>
        <w:rPr>
          <w:rFonts w:hint="eastAsia"/>
        </w:rPr>
        <w:t>本标准的起草过程主要分为前期准备、征求意见稿编制、送审稿编制、报批稿编制阶段。</w:t>
      </w:r>
    </w:p>
    <w:p w14:paraId="20EFCC04">
      <w:pPr>
        <w:spacing w:before="240" w:line="360" w:lineRule="auto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3.1 前期准备（20</w:t>
      </w:r>
      <w:r>
        <w:rPr>
          <w:rFonts w:ascii="黑体" w:hAnsi="黑体" w:eastAsia="黑体"/>
          <w:kern w:val="0"/>
          <w:sz w:val="24"/>
        </w:rPr>
        <w:t>26</w:t>
      </w:r>
      <w:r>
        <w:rPr>
          <w:rFonts w:hint="eastAsia" w:ascii="黑体" w:hAnsi="黑体" w:eastAsia="黑体"/>
          <w:kern w:val="0"/>
          <w:sz w:val="24"/>
        </w:rPr>
        <w:t>年</w:t>
      </w:r>
      <w:r>
        <w:rPr>
          <w:rFonts w:ascii="黑体" w:hAnsi="黑体" w:eastAsia="黑体"/>
          <w:kern w:val="0"/>
          <w:sz w:val="24"/>
        </w:rPr>
        <w:t>1</w:t>
      </w:r>
      <w:r>
        <w:rPr>
          <w:rFonts w:hint="eastAsia" w:ascii="黑体" w:hAnsi="黑体" w:eastAsia="黑体"/>
          <w:kern w:val="0"/>
          <w:sz w:val="24"/>
        </w:rPr>
        <w:t>月-20</w:t>
      </w:r>
      <w:r>
        <w:rPr>
          <w:rFonts w:ascii="黑体" w:hAnsi="黑体" w:eastAsia="黑体"/>
          <w:kern w:val="0"/>
          <w:sz w:val="24"/>
        </w:rPr>
        <w:t>26</w:t>
      </w:r>
      <w:r>
        <w:rPr>
          <w:rFonts w:hint="eastAsia" w:ascii="黑体" w:hAnsi="黑体" w:eastAsia="黑体"/>
          <w:kern w:val="0"/>
          <w:sz w:val="24"/>
        </w:rPr>
        <w:t>年</w:t>
      </w:r>
      <w:r>
        <w:rPr>
          <w:rFonts w:ascii="黑体" w:hAnsi="黑体" w:eastAsia="黑体"/>
          <w:kern w:val="0"/>
          <w:sz w:val="24"/>
        </w:rPr>
        <w:t>5</w:t>
      </w:r>
      <w:r>
        <w:rPr>
          <w:rFonts w:hint="eastAsia" w:ascii="黑体" w:hAnsi="黑体" w:eastAsia="黑体"/>
          <w:kern w:val="0"/>
          <w:sz w:val="24"/>
        </w:rPr>
        <w:t>月）</w:t>
      </w:r>
    </w:p>
    <w:p w14:paraId="7ECCCC87"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前期准备阶段主要任务是成立</w:t>
      </w:r>
      <w:r>
        <w:rPr>
          <w:rFonts w:hint="eastAsia" w:ascii="宋体" w:hAnsi="宋体"/>
          <w:kern w:val="0"/>
          <w:sz w:val="24"/>
          <w:lang w:val="zh-CN"/>
        </w:rPr>
        <w:t>起草工作</w:t>
      </w:r>
      <w:r>
        <w:rPr>
          <w:rFonts w:hint="eastAsia" w:ascii="宋体" w:hAnsi="宋体"/>
          <w:sz w:val="24"/>
        </w:rPr>
        <w:t>组</w:t>
      </w:r>
      <w:r>
        <w:rPr>
          <w:rFonts w:hint="eastAsia" w:ascii="宋体" w:hAnsi="宋体"/>
          <w:kern w:val="0"/>
          <w:sz w:val="24"/>
        </w:rPr>
        <w:t>、分解工作任务、明确编制进度、文件收集和调研分析。</w:t>
      </w:r>
    </w:p>
    <w:p w14:paraId="2A338496"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核工业标准化研究所于202</w:t>
      </w:r>
      <w:r>
        <w:rPr>
          <w:rFonts w:ascii="宋体" w:hAnsi="宋体"/>
          <w:kern w:val="0"/>
          <w:sz w:val="24"/>
        </w:rPr>
        <w:t>6</w:t>
      </w:r>
      <w:r>
        <w:rPr>
          <w:rFonts w:hint="eastAsia" w:ascii="宋体" w:hAnsi="宋体"/>
          <w:kern w:val="0"/>
          <w:sz w:val="24"/>
        </w:rPr>
        <w:t>年</w:t>
      </w:r>
      <w:r>
        <w:rPr>
          <w:rFonts w:ascii="宋体" w:hAnsi="宋体"/>
          <w:kern w:val="0"/>
          <w:sz w:val="24"/>
        </w:rPr>
        <w:t>2</w:t>
      </w:r>
      <w:r>
        <w:rPr>
          <w:rFonts w:hint="eastAsia" w:ascii="宋体" w:hAnsi="宋体"/>
          <w:kern w:val="0"/>
          <w:sz w:val="24"/>
        </w:rPr>
        <w:t>月</w:t>
      </w:r>
      <w:r>
        <w:rPr>
          <w:rFonts w:ascii="宋体" w:hAnsi="宋体"/>
          <w:kern w:val="0"/>
          <w:sz w:val="24"/>
        </w:rPr>
        <w:t>5</w:t>
      </w:r>
      <w:r>
        <w:rPr>
          <w:rFonts w:hint="eastAsia" w:ascii="宋体" w:hAnsi="宋体"/>
          <w:kern w:val="0"/>
          <w:sz w:val="24"/>
        </w:rPr>
        <w:t>日于北京组织有关单位专家和代表召开了立项把关审查会，共有来自生态环境部核与辐射安全中心、中国核电工程有限公司等</w:t>
      </w:r>
      <w:r>
        <w:rPr>
          <w:rFonts w:ascii="宋体" w:hAnsi="宋体"/>
          <w:kern w:val="0"/>
          <w:sz w:val="24"/>
        </w:rPr>
        <w:t>14</w:t>
      </w:r>
      <w:r>
        <w:rPr>
          <w:rFonts w:hint="eastAsia" w:ascii="宋体" w:hAnsi="宋体"/>
          <w:kern w:val="0"/>
          <w:sz w:val="24"/>
        </w:rPr>
        <w:t>位评审专家参会，与会专家听取了编制组对标准编制背景情况的汇报，经过对标准内容深入讨论，对标准技术内容无实质性分歧意见，建议该标准立项，并提出部分修改意见。会后编制组对建议书和标准草案进行了修改。</w:t>
      </w:r>
    </w:p>
    <w:p w14:paraId="0CC8EDD1">
      <w:pPr>
        <w:spacing w:before="240" w:line="360" w:lineRule="auto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3.2 征求意见稿编制（20</w:t>
      </w:r>
      <w:r>
        <w:rPr>
          <w:rFonts w:ascii="黑体" w:hAnsi="黑体" w:eastAsia="黑体"/>
          <w:kern w:val="0"/>
          <w:sz w:val="24"/>
        </w:rPr>
        <w:t>26</w:t>
      </w:r>
      <w:r>
        <w:rPr>
          <w:rFonts w:hint="eastAsia" w:ascii="黑体" w:hAnsi="黑体" w:eastAsia="黑体"/>
          <w:kern w:val="0"/>
          <w:sz w:val="24"/>
        </w:rPr>
        <w:t>年</w:t>
      </w:r>
      <w:r>
        <w:rPr>
          <w:rFonts w:ascii="黑体" w:hAnsi="黑体" w:eastAsia="黑体"/>
          <w:kern w:val="0"/>
          <w:sz w:val="24"/>
        </w:rPr>
        <w:t>5</w:t>
      </w:r>
      <w:r>
        <w:rPr>
          <w:rFonts w:hint="eastAsia" w:ascii="黑体" w:hAnsi="黑体" w:eastAsia="黑体"/>
          <w:kern w:val="0"/>
          <w:sz w:val="24"/>
        </w:rPr>
        <w:t>月-20</w:t>
      </w:r>
      <w:r>
        <w:rPr>
          <w:rFonts w:ascii="黑体" w:hAnsi="黑体" w:eastAsia="黑体"/>
          <w:kern w:val="0"/>
          <w:sz w:val="24"/>
        </w:rPr>
        <w:t>26</w:t>
      </w:r>
      <w:r>
        <w:rPr>
          <w:rFonts w:hint="eastAsia" w:ascii="黑体" w:hAnsi="黑体" w:eastAsia="黑体"/>
          <w:kern w:val="0"/>
          <w:sz w:val="24"/>
        </w:rPr>
        <w:t>年</w:t>
      </w:r>
      <w:r>
        <w:rPr>
          <w:rFonts w:ascii="黑体" w:hAnsi="黑体" w:eastAsia="黑体"/>
          <w:kern w:val="0"/>
          <w:sz w:val="24"/>
        </w:rPr>
        <w:t>7</w:t>
      </w:r>
      <w:r>
        <w:rPr>
          <w:rFonts w:hint="eastAsia" w:ascii="黑体" w:hAnsi="黑体" w:eastAsia="黑体"/>
          <w:kern w:val="0"/>
          <w:sz w:val="24"/>
        </w:rPr>
        <w:t>月）</w:t>
      </w:r>
    </w:p>
    <w:p w14:paraId="48F31D5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在具体章节编写过程中，对于标准内容的定位和合理</w:t>
      </w:r>
      <w:r>
        <w:rPr>
          <w:rFonts w:hint="eastAsia"/>
          <w:sz w:val="24"/>
        </w:rPr>
        <w:t>安排</w:t>
      </w:r>
      <w:r>
        <w:rPr>
          <w:sz w:val="24"/>
        </w:rPr>
        <w:t>问题</w:t>
      </w:r>
      <w:r>
        <w:rPr>
          <w:rFonts w:hint="eastAsia"/>
          <w:sz w:val="24"/>
        </w:rPr>
        <w:t>，</w:t>
      </w:r>
      <w:r>
        <w:rPr>
          <w:sz w:val="24"/>
        </w:rPr>
        <w:t>主编单位向参编单位征求了相关意见</w:t>
      </w:r>
      <w:r>
        <w:rPr>
          <w:rFonts w:hint="eastAsia"/>
          <w:sz w:val="24"/>
        </w:rPr>
        <w:t>，</w:t>
      </w:r>
      <w:r>
        <w:rPr>
          <w:sz w:val="24"/>
        </w:rPr>
        <w:t>并对反馈意见主编单位内部进行多次反复讨论和修改，最终形成本标准征求意见稿。标准征求意见稿编制期间主要工作如下：</w:t>
      </w:r>
    </w:p>
    <w:p w14:paraId="4471B482">
      <w:pPr>
        <w:spacing w:line="360" w:lineRule="auto"/>
        <w:ind w:firstLine="480" w:firstLineChars="200"/>
        <w:rPr>
          <w:color w:val="0000FF"/>
          <w:sz w:val="24"/>
        </w:rPr>
      </w:pPr>
      <w:r>
        <w:rPr>
          <w:sz w:val="24"/>
        </w:rPr>
        <w:t>主编单位</w:t>
      </w:r>
      <w:r>
        <w:rPr>
          <w:rFonts w:hint="eastAsia"/>
          <w:sz w:val="24"/>
        </w:rPr>
        <w:t>中核能源科技有限公司</w:t>
      </w:r>
      <w:r>
        <w:rPr>
          <w:sz w:val="24"/>
        </w:rPr>
        <w:t>针对编制初稿向标准编制组成员单位征求内部意见</w:t>
      </w:r>
      <w:r>
        <w:rPr>
          <w:rFonts w:hint="eastAsia"/>
          <w:sz w:val="24"/>
        </w:rPr>
        <w:t>，</w:t>
      </w:r>
      <w:r>
        <w:rPr>
          <w:sz w:val="24"/>
        </w:rPr>
        <w:t>收到</w:t>
      </w:r>
      <w:r>
        <w:rPr>
          <w:rFonts w:hint="eastAsia"/>
          <w:sz w:val="24"/>
        </w:rPr>
        <w:t>起草工作组</w:t>
      </w:r>
      <w:r>
        <w:rPr>
          <w:sz w:val="24"/>
        </w:rPr>
        <w:t>成员单位反馈的对标准的编制意见。</w:t>
      </w:r>
      <w:r>
        <w:rPr>
          <w:rFonts w:hint="eastAsia"/>
          <w:sz w:val="24"/>
        </w:rPr>
        <w:t>202</w:t>
      </w:r>
      <w:r>
        <w:rPr>
          <w:sz w:val="24"/>
        </w:rPr>
        <w:t>6年5月</w:t>
      </w:r>
      <w:r>
        <w:rPr>
          <w:rFonts w:hint="eastAsia"/>
          <w:sz w:val="24"/>
        </w:rPr>
        <w:t>30</w:t>
      </w:r>
      <w:r>
        <w:rPr>
          <w:sz w:val="24"/>
        </w:rPr>
        <w:t>日完成修改，形成征求意见稿</w:t>
      </w:r>
      <w:r>
        <w:rPr>
          <w:rFonts w:hint="eastAsia"/>
          <w:sz w:val="24"/>
        </w:rPr>
        <w:t>，并报送标准化所。202</w:t>
      </w:r>
      <w:r>
        <w:rPr>
          <w:sz w:val="24"/>
        </w:rPr>
        <w:t>6</w:t>
      </w:r>
      <w:r>
        <w:rPr>
          <w:rFonts w:hint="eastAsia"/>
          <w:sz w:val="24"/>
        </w:rPr>
        <w:t>年</w:t>
      </w:r>
      <w:r>
        <w:rPr>
          <w:sz w:val="24"/>
        </w:rPr>
        <w:t>6</w:t>
      </w:r>
      <w:r>
        <w:rPr>
          <w:rFonts w:hint="eastAsia"/>
          <w:sz w:val="24"/>
        </w:rPr>
        <w:t>月</w:t>
      </w:r>
      <w:r>
        <w:rPr>
          <w:sz w:val="24"/>
        </w:rPr>
        <w:t>下旬</w:t>
      </w:r>
      <w:r>
        <w:rPr>
          <w:rFonts w:hint="eastAsia"/>
          <w:sz w:val="24"/>
        </w:rPr>
        <w:t>，起草工作组收到标准化所的意见反馈。起草工作组根据反馈意见，对标准征求意见稿进行了格式和内容方</w:t>
      </w:r>
      <w:r>
        <w:rPr>
          <w:rFonts w:hint="eastAsia"/>
          <w:color w:val="000000" w:themeColor="text1"/>
          <w:sz w:val="24"/>
        </w:rPr>
        <w:t>面的修改和完善，于</w:t>
      </w:r>
      <w:r>
        <w:rPr>
          <w:rFonts w:hint="eastAsia" w:ascii="Calibri" w:hAnsi="Calibri" w:eastAsia="宋体" w:cs="Times New Roman"/>
          <w:color w:val="000000" w:themeColor="text1"/>
          <w:sz w:val="24"/>
        </w:rPr>
        <w:t>20</w:t>
      </w:r>
      <w:r>
        <w:rPr>
          <w:rFonts w:ascii="Calibri" w:hAnsi="Calibri" w:eastAsia="宋体" w:cs="Times New Roman"/>
          <w:color w:val="000000" w:themeColor="text1"/>
          <w:sz w:val="24"/>
        </w:rPr>
        <w:t>26</w:t>
      </w:r>
      <w:r>
        <w:rPr>
          <w:rFonts w:hint="eastAsia"/>
          <w:color w:val="000000" w:themeColor="text1"/>
          <w:sz w:val="24"/>
        </w:rPr>
        <w:t>年</w:t>
      </w:r>
      <w:r>
        <w:rPr>
          <w:color w:val="000000" w:themeColor="text1"/>
          <w:sz w:val="24"/>
        </w:rPr>
        <w:t>7</w:t>
      </w:r>
      <w:r>
        <w:rPr>
          <w:rFonts w:hint="eastAsia"/>
          <w:color w:val="000000" w:themeColor="text1"/>
          <w:sz w:val="24"/>
        </w:rPr>
        <w:t>月</w:t>
      </w:r>
      <w:r>
        <w:rPr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日将征求意见材料提交至核工业标准化研究所。</w:t>
      </w:r>
    </w:p>
    <w:p w14:paraId="25797C67">
      <w:pPr>
        <w:numPr>
          <w:ilvl w:val="0"/>
          <w:numId w:val="1"/>
        </w:numPr>
        <w:spacing w:before="240" w:after="240" w:line="360" w:lineRule="auto"/>
        <w:rPr>
          <w:rFonts w:ascii="黑体" w:hAnsi="黑体" w:eastAsia="黑体"/>
          <w:kern w:val="0"/>
          <w:sz w:val="24"/>
        </w:rPr>
      </w:pPr>
      <w:r>
        <w:rPr>
          <w:rFonts w:hint="eastAsia" w:ascii="黑体" w:eastAsia="黑体"/>
          <w:sz w:val="28"/>
          <w:szCs w:val="28"/>
        </w:rPr>
        <w:t>标准编写原则和主要内容</w:t>
      </w:r>
      <w:bookmarkStart w:id="0" w:name="_Toc361734314"/>
    </w:p>
    <w:bookmarkEnd w:id="0"/>
    <w:p w14:paraId="42D9830E">
      <w:pPr>
        <w:spacing w:before="240" w:line="360" w:lineRule="auto"/>
        <w:rPr>
          <w:rFonts w:ascii="黑体" w:hAnsi="黑体" w:eastAsia="黑体"/>
          <w:kern w:val="0"/>
          <w:sz w:val="24"/>
        </w:rPr>
      </w:pPr>
      <w:bookmarkStart w:id="1" w:name="_Toc361669937"/>
      <w:bookmarkEnd w:id="1"/>
      <w:bookmarkStart w:id="2" w:name="_Toc361734315"/>
      <w:r>
        <w:rPr>
          <w:rFonts w:hint="eastAsia" w:ascii="黑体" w:hAnsi="黑体" w:eastAsia="黑体"/>
          <w:kern w:val="0"/>
          <w:sz w:val="24"/>
        </w:rPr>
        <w:t>4.1 起草原则</w:t>
      </w:r>
      <w:bookmarkEnd w:id="2"/>
    </w:p>
    <w:p w14:paraId="0547C805">
      <w:pPr>
        <w:spacing w:line="360" w:lineRule="auto"/>
        <w:ind w:firstLine="480"/>
        <w:rPr>
          <w:rFonts w:asciiTheme="majorEastAsia" w:hAnsiTheme="majorEastAsia" w:eastAsiaTheme="maj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本标准的起草严格遵照国家核安全技术法规导则，并与现行相关国家标准、行业标准保持协调一致。本标准</w:t>
      </w:r>
      <w:r>
        <w:rPr>
          <w:rFonts w:hint="eastAsia" w:asciiTheme="majorEastAsia" w:hAnsiTheme="majorEastAsia" w:eastAsiaTheme="majorEastAsia"/>
          <w:sz w:val="24"/>
          <w:szCs w:val="28"/>
          <w:lang w:val="de-DE"/>
        </w:rPr>
        <w:t xml:space="preserve">按照GB/T 1.1—2020《标准化工作导则 </w:t>
      </w:r>
      <w:r>
        <w:rPr>
          <w:rFonts w:asciiTheme="majorEastAsia" w:hAnsiTheme="majorEastAsia" w:eastAsiaTheme="majorEastAsia"/>
          <w:sz w:val="24"/>
          <w:szCs w:val="28"/>
          <w:lang w:val="de-DE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8"/>
          <w:lang w:val="de-DE"/>
        </w:rPr>
        <w:t>第1部分：标准化文件的结构和起草规则》</w:t>
      </w:r>
      <w:bookmarkStart w:id="3" w:name="_GoBack"/>
      <w:bookmarkEnd w:id="3"/>
      <w:r>
        <w:rPr>
          <w:rFonts w:hint="eastAsia" w:asciiTheme="majorEastAsia" w:hAnsiTheme="majorEastAsia" w:eastAsiaTheme="majorEastAsia"/>
          <w:sz w:val="24"/>
          <w:szCs w:val="28"/>
          <w:lang w:val="de-DE"/>
        </w:rPr>
        <w:t>的规定起草。</w:t>
      </w:r>
    </w:p>
    <w:p w14:paraId="6FC23DFE">
      <w:pPr>
        <w:spacing w:before="240" w:line="360" w:lineRule="auto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4.2主要内容</w:t>
      </w:r>
    </w:p>
    <w:p w14:paraId="489DF6F9">
      <w:pPr>
        <w:spacing w:before="240" w:line="360" w:lineRule="auto"/>
        <w:ind w:firstLine="480" w:firstLineChars="200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1、主要技术</w:t>
      </w:r>
      <w:r>
        <w:rPr>
          <w:rFonts w:ascii="黑体" w:hAnsi="黑体" w:eastAsia="黑体"/>
          <w:kern w:val="0"/>
          <w:sz w:val="24"/>
        </w:rPr>
        <w:t>内容</w:t>
      </w:r>
      <w:r>
        <w:rPr>
          <w:rFonts w:hint="eastAsia" w:ascii="黑体" w:hAnsi="黑体" w:eastAsia="黑体"/>
          <w:kern w:val="0"/>
          <w:sz w:val="24"/>
        </w:rPr>
        <w:t>说明</w:t>
      </w:r>
    </w:p>
    <w:p w14:paraId="6AD8D86A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本标准主要由范围、规范性引用文件、术语和定义、安全等级和抗震类别、功能、要求、试验方法、检验规则、标志、包装、运输和贮存9个部分组成。</w:t>
      </w:r>
    </w:p>
    <w:p w14:paraId="001084C4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a.范围</w:t>
      </w:r>
    </w:p>
    <w:p w14:paraId="14C1FDB1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本标准适用于高温气冷堆核</w:t>
      </w:r>
      <w:r>
        <w:rPr>
          <w:rFonts w:hint="eastAsia" w:asciiTheme="minorEastAsia" w:hAnsiTheme="minorEastAsia"/>
          <w:sz w:val="24"/>
          <w:szCs w:val="28"/>
          <w:lang w:val="de-DE"/>
        </w:rPr>
        <w:t>动力</w:t>
      </w:r>
      <w:r>
        <w:rPr>
          <w:rFonts w:asciiTheme="minorEastAsia" w:hAnsiTheme="minorEastAsia"/>
          <w:sz w:val="24"/>
          <w:szCs w:val="28"/>
          <w:lang w:val="de-DE"/>
        </w:rPr>
        <w:t>厂</w:t>
      </w:r>
      <w:r>
        <w:rPr>
          <w:rFonts w:hint="eastAsia" w:asciiTheme="minorEastAsia" w:hAnsiTheme="minorEastAsia"/>
          <w:sz w:val="24"/>
          <w:szCs w:val="28"/>
          <w:lang w:val="de-DE"/>
        </w:rPr>
        <w:t>气体采样和分析系统用负压通风柜的设计、制造和安装，规定了通风柜的</w:t>
      </w:r>
      <w:r>
        <w:rPr>
          <w:rFonts w:asciiTheme="minorEastAsia" w:hAnsiTheme="minorEastAsia"/>
          <w:sz w:val="24"/>
          <w:szCs w:val="28"/>
          <w:lang w:val="de-DE"/>
        </w:rPr>
        <w:t>功能、要求（包括外观要求、材料要求、制造要求、安装要求和电气安全要求）、试验方法、检验规则、标志、包装、运输和贮存等方面内容。本标准规定的负压通风柜要求和试验方法，其他堆型的核动力厂也可参照执行。</w:t>
      </w:r>
    </w:p>
    <w:p w14:paraId="712E2267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b.规范性引用文件</w:t>
      </w:r>
    </w:p>
    <w:p w14:paraId="11EAAC45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规范性引用文件按照团体标准的统一导语，并根据被引用标准的情况，对所引用的标准采用不注日期引用和注日期引用。</w:t>
      </w:r>
    </w:p>
    <w:p w14:paraId="72DF953A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c.术语和定义</w:t>
      </w:r>
    </w:p>
    <w:p w14:paraId="066CBAD3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为了便于使用者阅读和理解，给出了本标准专用名词的解释。</w:t>
      </w:r>
    </w:p>
    <w:p w14:paraId="1447E1BC">
      <w:pPr>
        <w:spacing w:line="360" w:lineRule="auto"/>
        <w:jc w:val="left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d.安全等级和抗震类别</w:t>
      </w:r>
    </w:p>
    <w:p w14:paraId="24AB9BCD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高温堆气体采样和分析系统用负压通风柜为非核安全级</w:t>
      </w:r>
      <w:r>
        <w:rPr>
          <w:rFonts w:asciiTheme="minorEastAsia" w:hAnsiTheme="minorEastAsia"/>
          <w:sz w:val="24"/>
          <w:szCs w:val="28"/>
          <w:lang w:val="de-DE"/>
        </w:rPr>
        <w:t>、</w:t>
      </w:r>
      <w:r>
        <w:rPr>
          <w:rFonts w:hint="eastAsia" w:asciiTheme="minorEastAsia" w:hAnsiTheme="minorEastAsia"/>
          <w:sz w:val="24"/>
          <w:szCs w:val="28"/>
          <w:lang w:val="de-DE"/>
        </w:rPr>
        <w:t>非核</w:t>
      </w:r>
      <w:r>
        <w:rPr>
          <w:rFonts w:asciiTheme="minorEastAsia" w:hAnsiTheme="minorEastAsia"/>
          <w:sz w:val="24"/>
          <w:szCs w:val="28"/>
          <w:lang w:val="de-DE"/>
        </w:rPr>
        <w:t>抗震类设备，</w:t>
      </w:r>
      <w:r>
        <w:rPr>
          <w:rFonts w:hint="eastAsia" w:asciiTheme="minorEastAsia" w:hAnsiTheme="minorEastAsia"/>
          <w:sz w:val="24"/>
          <w:szCs w:val="28"/>
          <w:lang w:val="de-DE"/>
        </w:rPr>
        <w:t>无核质量保证要求，这一规定为通风柜的设计、制造、安装等活动奠定了基本的前提。</w:t>
      </w:r>
    </w:p>
    <w:p w14:paraId="6684CB48">
      <w:pPr>
        <w:spacing w:line="360" w:lineRule="auto"/>
        <w:jc w:val="left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e.功能</w:t>
      </w:r>
    </w:p>
    <w:p w14:paraId="0F7771C2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高温堆气体采样和分析系统用负压通风柜，其功能大致分为四个方面：（1）包容仪器、阀门、管路；（</w:t>
      </w:r>
      <w:r>
        <w:rPr>
          <w:rFonts w:asciiTheme="minorEastAsia" w:hAnsiTheme="minorEastAsia"/>
          <w:sz w:val="24"/>
          <w:szCs w:val="28"/>
          <w:lang w:val="de-DE"/>
        </w:rPr>
        <w:t>2</w:t>
      </w:r>
      <w:r>
        <w:rPr>
          <w:rFonts w:hint="eastAsia" w:asciiTheme="minorEastAsia" w:hAnsiTheme="minorEastAsia"/>
          <w:sz w:val="24"/>
          <w:szCs w:val="28"/>
          <w:lang w:val="de-DE"/>
        </w:rPr>
        <w:t>）安装、支承柜内仪器、阀门、管路；（</w:t>
      </w:r>
      <w:r>
        <w:rPr>
          <w:rFonts w:asciiTheme="minorEastAsia" w:hAnsiTheme="minorEastAsia"/>
          <w:sz w:val="24"/>
          <w:szCs w:val="28"/>
          <w:lang w:val="de-DE"/>
        </w:rPr>
        <w:t>3</w:t>
      </w:r>
      <w:r>
        <w:rPr>
          <w:rFonts w:hint="eastAsia" w:asciiTheme="minorEastAsia" w:hAnsiTheme="minorEastAsia"/>
          <w:sz w:val="24"/>
          <w:szCs w:val="28"/>
          <w:lang w:val="de-DE"/>
        </w:rPr>
        <w:t>）隔离放射性；（</w:t>
      </w:r>
      <w:r>
        <w:rPr>
          <w:rFonts w:asciiTheme="minorEastAsia" w:hAnsiTheme="minorEastAsia"/>
          <w:sz w:val="24"/>
          <w:szCs w:val="28"/>
          <w:lang w:val="de-DE"/>
        </w:rPr>
        <w:t>4</w:t>
      </w:r>
      <w:r>
        <w:rPr>
          <w:rFonts w:hint="eastAsia" w:asciiTheme="minorEastAsia" w:hAnsiTheme="minorEastAsia"/>
          <w:sz w:val="24"/>
          <w:szCs w:val="28"/>
          <w:lang w:val="de-DE"/>
        </w:rPr>
        <w:t>）可通过打开柜门对仪器、阀门进行维修、操作。针对不同的功能，分别进行具体、详细的要求，如通风柜可与排风系统管线连接以保持负压，打开柜门时面风速的要求，柜体及相关部件承载负压的要求，为满足设备运行、维修操作的要求如何设置柜体结构，通风柜的照明功能及与柜门联动开关的要求，集中布置与分散布置时相互连接的要求。</w:t>
      </w:r>
    </w:p>
    <w:p w14:paraId="7453E8D4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f.要求</w:t>
      </w:r>
    </w:p>
    <w:p w14:paraId="5218068C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规定了通风柜的外观要求、材料要求、制造要求、安装要求和电气安全要求。</w:t>
      </w:r>
    </w:p>
    <w:p w14:paraId="7EC01AAC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外观尺寸要求结合了H</w:t>
      </w:r>
      <w:r>
        <w:rPr>
          <w:rFonts w:asciiTheme="minorEastAsia" w:hAnsiTheme="minorEastAsia"/>
          <w:sz w:val="24"/>
          <w:szCs w:val="28"/>
          <w:lang w:val="de-DE"/>
        </w:rPr>
        <w:t>TR-PM和</w:t>
      </w:r>
      <w:r>
        <w:rPr>
          <w:rFonts w:hint="eastAsia" w:asciiTheme="minorEastAsia" w:hAnsiTheme="minorEastAsia"/>
          <w:sz w:val="24"/>
          <w:szCs w:val="28"/>
          <w:lang w:val="de-DE"/>
        </w:rPr>
        <w:t>H</w:t>
      </w:r>
      <w:r>
        <w:rPr>
          <w:rFonts w:asciiTheme="minorEastAsia" w:hAnsiTheme="minorEastAsia"/>
          <w:sz w:val="24"/>
          <w:szCs w:val="28"/>
          <w:lang w:val="de-DE"/>
        </w:rPr>
        <w:t>TR-PM600的实际工程数据与力学稳定性需求，给出了可参考执行的范围。</w:t>
      </w:r>
    </w:p>
    <w:p w14:paraId="2ACC3551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材料要求中，结合通风柜承载功能，规定了柜体材料使用2.0mm</w:t>
      </w:r>
      <w:r>
        <w:rPr>
          <w:rFonts w:hint="eastAsia" w:asciiTheme="minorEastAsia" w:hAnsiTheme="minorEastAsia"/>
          <w:sz w:val="24"/>
          <w:szCs w:val="28"/>
          <w:lang w:val="de-DE"/>
        </w:rPr>
        <w:t>以上的电镀锌冷轧钢板或</w:t>
      </w:r>
      <w:r>
        <w:rPr>
          <w:rFonts w:asciiTheme="minorEastAsia" w:hAnsiTheme="minorEastAsia"/>
          <w:sz w:val="24"/>
          <w:szCs w:val="28"/>
          <w:lang w:val="de-DE"/>
        </w:rPr>
        <w:t>不锈钢板，保证柜体的结构强度；结合柜体表面耐锈蚀需求，规定了柜体表面处理的漆膜厚度不小于60μm；结合通风柜的包容功能，规定柜内电气相关材料</w:t>
      </w:r>
      <w:r>
        <w:rPr>
          <w:rFonts w:hint="eastAsia" w:asciiTheme="minorEastAsia" w:hAnsiTheme="minorEastAsia"/>
          <w:sz w:val="24"/>
          <w:szCs w:val="28"/>
          <w:lang w:val="de-DE"/>
        </w:rPr>
        <w:t>应采用低烟、无卤、阻燃材料。</w:t>
      </w:r>
    </w:p>
    <w:p w14:paraId="77262F93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制造要求中，对通风柜柜体的焊接质量、底板强度、柜门、补风面积等进行了规定。</w:t>
      </w:r>
    </w:p>
    <w:p w14:paraId="0EFC21BA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安装要求中，按机械设备安装的国标</w:t>
      </w:r>
      <w:r>
        <w:rPr>
          <w:rFonts w:hint="eastAsia" w:asciiTheme="minorEastAsia" w:hAnsiTheme="minorEastAsia"/>
          <w:sz w:val="24"/>
          <w:szCs w:val="28"/>
          <w:lang w:val="de-DE"/>
        </w:rPr>
        <w:t>GB 50231执行，并对通风柜的安装底座型式与连接方法进行说明，对柜内仪器、阀门的布置要求进行规定。</w:t>
      </w:r>
    </w:p>
    <w:p w14:paraId="79A691D7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考虑通风柜在运行过程中，柜内的仪器、仪表、阀门有通电需求，因此参考低压成套开关设备和控制设备的国标</w:t>
      </w:r>
      <w:r>
        <w:rPr>
          <w:rFonts w:hint="eastAsia" w:asciiTheme="minorEastAsia" w:hAnsiTheme="minorEastAsia"/>
          <w:sz w:val="24"/>
          <w:szCs w:val="28"/>
          <w:lang w:val="de-DE"/>
        </w:rPr>
        <w:t xml:space="preserve">GB/T </w:t>
      </w:r>
      <w:r>
        <w:rPr>
          <w:rFonts w:asciiTheme="minorEastAsia" w:hAnsiTheme="minorEastAsia"/>
          <w:sz w:val="24"/>
          <w:szCs w:val="28"/>
          <w:lang w:val="de-DE"/>
        </w:rPr>
        <w:t>7251.1，对电气安全相关的要求，如绝缘电阻、交流耐压和接地保护等进行规定。</w:t>
      </w:r>
    </w:p>
    <w:p w14:paraId="0635EAEE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g.试验方法</w:t>
      </w:r>
    </w:p>
    <w:p w14:paraId="5D826FD2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本节给出了负压通风柜制造完成后进行检验的试验方法，包括尺寸检查、外观检查、绝缘电阻试验、交流耐压试验、保护接地试验、和柜门开关试验。主要针对通风柜的“要求”，提出能满足要求的验证性试验方法。</w:t>
      </w:r>
    </w:p>
    <w:p w14:paraId="7008B071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h.检验规则</w:t>
      </w:r>
    </w:p>
    <w:p w14:paraId="1865C122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hint="eastAsia" w:asciiTheme="minorEastAsia" w:hAnsiTheme="minorEastAsia"/>
          <w:sz w:val="24"/>
          <w:szCs w:val="28"/>
          <w:lang w:val="de-DE"/>
        </w:rPr>
        <w:t>本节规定了通风柜的检验分为型式检验和出厂检验，分别列出了不同检验类别需要进行的检验项目、需要执行的技术要求和试验方法。型式检验需要进行 “试验方法”一节中规定的所有试验项目，出厂检验可只进行外观的检验。</w:t>
      </w:r>
    </w:p>
    <w:p w14:paraId="12AF065A">
      <w:pPr>
        <w:spacing w:line="360" w:lineRule="auto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i.标志、包装、运输和贮存</w:t>
      </w:r>
    </w:p>
    <w:p w14:paraId="5D7BEFF9">
      <w:pPr>
        <w:spacing w:line="360" w:lineRule="auto"/>
        <w:ind w:firstLine="600" w:firstLineChars="25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本节规定了通风柜的铭牌内容、包装要求、运输和贮存过程的注意事项。</w:t>
      </w:r>
    </w:p>
    <w:p w14:paraId="025AD923">
      <w:pPr>
        <w:spacing w:before="240" w:line="360" w:lineRule="auto"/>
        <w:ind w:firstLine="480" w:firstLineChars="200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2、修订说明（如修订项目）</w:t>
      </w:r>
    </w:p>
    <w:p w14:paraId="61899AB1">
      <w:pPr>
        <w:spacing w:line="360" w:lineRule="auto"/>
        <w:ind w:firstLine="480"/>
        <w:rPr>
          <w:rFonts w:asciiTheme="minorEastAsia" w:hAnsiTheme="minorEastAsia"/>
          <w:sz w:val="28"/>
        </w:rPr>
      </w:pPr>
      <w:r>
        <w:rPr>
          <w:rFonts w:ascii="Calibri" w:hAnsi="Calibri" w:eastAsia="宋体" w:cs="Times New Roman"/>
          <w:sz w:val="24"/>
        </w:rPr>
        <w:t>无</w:t>
      </w:r>
      <w:r>
        <w:rPr>
          <w:rFonts w:hint="eastAsia" w:ascii="Calibri" w:hAnsi="Calibri" w:eastAsia="宋体" w:cs="Times New Roman"/>
          <w:sz w:val="24"/>
        </w:rPr>
        <w:t>。</w:t>
      </w:r>
    </w:p>
    <w:p w14:paraId="79C0E63B">
      <w:pPr>
        <w:numPr>
          <w:ilvl w:val="0"/>
          <w:numId w:val="1"/>
        </w:numPr>
        <w:spacing w:before="240" w:after="24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国内外相关标准现状分析</w:t>
      </w:r>
    </w:p>
    <w:p w14:paraId="0C18C02B">
      <w:pPr>
        <w:spacing w:line="360" w:lineRule="auto"/>
        <w:ind w:firstLine="48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针对负压通风柜的设计，国内目前的标准主要是《实验室家具</w:t>
      </w:r>
      <w:r>
        <w:rPr>
          <w:rFonts w:hint="eastAsia" w:asciiTheme="minorEastAsia" w:hAnsiTheme="minorEastAsia"/>
          <w:sz w:val="24"/>
          <w:szCs w:val="28"/>
          <w:lang w:val="de-DE"/>
        </w:rPr>
        <w:t xml:space="preserve"> 通风柜</w:t>
      </w:r>
      <w:r>
        <w:rPr>
          <w:rFonts w:asciiTheme="minorEastAsia" w:hAnsiTheme="minorEastAsia"/>
          <w:sz w:val="24"/>
          <w:szCs w:val="28"/>
          <w:lang w:val="de-DE"/>
        </w:rPr>
        <w:t>》</w:t>
      </w:r>
      <w:r>
        <w:rPr>
          <w:rFonts w:hint="eastAsia" w:asciiTheme="minorEastAsia" w:hAnsiTheme="minorEastAsia"/>
          <w:sz w:val="24"/>
          <w:szCs w:val="28"/>
          <w:lang w:val="de-DE"/>
        </w:rPr>
        <w:t>Q</w:t>
      </w:r>
      <w:r>
        <w:rPr>
          <w:rFonts w:asciiTheme="minorEastAsia" w:hAnsiTheme="minorEastAsia"/>
          <w:sz w:val="24"/>
          <w:szCs w:val="28"/>
          <w:lang w:val="de-DE"/>
        </w:rPr>
        <w:t>B/T5589-2021、《通风柜技术条件》</w:t>
      </w:r>
      <w:r>
        <w:rPr>
          <w:rFonts w:hint="eastAsia" w:asciiTheme="minorEastAsia" w:hAnsiTheme="minorEastAsia"/>
          <w:sz w:val="24"/>
          <w:szCs w:val="28"/>
          <w:lang w:val="de-DE"/>
        </w:rPr>
        <w:t>E</w:t>
      </w:r>
      <w:r>
        <w:rPr>
          <w:rFonts w:asciiTheme="minorEastAsia" w:hAnsiTheme="minorEastAsia"/>
          <w:sz w:val="24"/>
          <w:szCs w:val="28"/>
          <w:lang w:val="de-DE"/>
        </w:rPr>
        <w:t>J255-85以及《排风柜》</w:t>
      </w:r>
      <w:r>
        <w:rPr>
          <w:rFonts w:hint="eastAsia" w:asciiTheme="minorEastAsia" w:hAnsiTheme="minorEastAsia"/>
          <w:sz w:val="24"/>
          <w:szCs w:val="28"/>
          <w:lang w:val="de-DE"/>
        </w:rPr>
        <w:t>J</w:t>
      </w:r>
      <w:r>
        <w:rPr>
          <w:rFonts w:asciiTheme="minorEastAsia" w:hAnsiTheme="minorEastAsia"/>
          <w:sz w:val="24"/>
          <w:szCs w:val="28"/>
          <w:lang w:val="de-DE"/>
        </w:rPr>
        <w:t>B/T6412-1999，这些标准主要提供了常规实验室用负压通风柜的分类、要求、试验方法、检验规则、包装、运输和贮存等内容，但是针对高温气冷堆核动力厂用负压通风柜无专用标准。</w:t>
      </w:r>
    </w:p>
    <w:p w14:paraId="4F82D022">
      <w:pPr>
        <w:spacing w:line="360" w:lineRule="auto"/>
        <w:ind w:firstLine="480" w:firstLineChars="200"/>
        <w:rPr>
          <w:rFonts w:asciiTheme="minorEastAsia" w:hAnsiTheme="minorEastAsia"/>
          <w:sz w:val="24"/>
          <w:szCs w:val="28"/>
          <w:lang w:val="de-DE"/>
        </w:rPr>
      </w:pPr>
      <w:r>
        <w:rPr>
          <w:rFonts w:asciiTheme="minorEastAsia" w:hAnsiTheme="minorEastAsia"/>
          <w:sz w:val="24"/>
          <w:szCs w:val="28"/>
          <w:lang w:val="de-DE"/>
        </w:rPr>
        <w:t>针对实验室负压通风柜的设计，国外主流标准分为欧洲</w:t>
      </w:r>
      <w:r>
        <w:rPr>
          <w:rFonts w:hint="eastAsia" w:asciiTheme="minorEastAsia" w:hAnsiTheme="minorEastAsia"/>
          <w:sz w:val="24"/>
          <w:szCs w:val="28"/>
          <w:lang w:val="de-DE"/>
        </w:rPr>
        <w:t>E</w:t>
      </w:r>
      <w:r>
        <w:rPr>
          <w:rFonts w:asciiTheme="minorEastAsia" w:hAnsiTheme="minorEastAsia"/>
          <w:sz w:val="24"/>
          <w:szCs w:val="28"/>
          <w:lang w:val="de-DE"/>
        </w:rPr>
        <w:t>N 14175与北美</w:t>
      </w:r>
      <w:r>
        <w:rPr>
          <w:rFonts w:hint="eastAsia" w:asciiTheme="minorEastAsia" w:hAnsiTheme="minorEastAsia"/>
          <w:sz w:val="24"/>
          <w:szCs w:val="28"/>
          <w:lang w:val="de-DE"/>
        </w:rPr>
        <w:t>A</w:t>
      </w:r>
      <w:r>
        <w:rPr>
          <w:rFonts w:asciiTheme="minorEastAsia" w:hAnsiTheme="minorEastAsia"/>
          <w:sz w:val="24"/>
          <w:szCs w:val="28"/>
          <w:lang w:val="de-DE"/>
        </w:rPr>
        <w:t>NSI/ASHRAE 110两大体系。</w:t>
      </w:r>
      <w:r>
        <w:rPr>
          <w:rFonts w:hint="eastAsia" w:asciiTheme="minorEastAsia" w:hAnsiTheme="minorEastAsia"/>
          <w:sz w:val="24"/>
          <w:szCs w:val="28"/>
          <w:lang w:val="de-DE"/>
        </w:rPr>
        <w:t>E</w:t>
      </w:r>
      <w:r>
        <w:rPr>
          <w:rFonts w:asciiTheme="minorEastAsia" w:hAnsiTheme="minorEastAsia"/>
          <w:sz w:val="24"/>
          <w:szCs w:val="28"/>
          <w:lang w:val="de-DE"/>
        </w:rPr>
        <w:t>N 14175侧重从产品设计源头定义通风柜的整体性能与安全要求，而</w:t>
      </w:r>
      <w:r>
        <w:rPr>
          <w:rFonts w:hint="eastAsia" w:asciiTheme="minorEastAsia" w:hAnsiTheme="minorEastAsia"/>
          <w:sz w:val="24"/>
          <w:szCs w:val="28"/>
          <w:lang w:val="de-DE"/>
        </w:rPr>
        <w:t>A</w:t>
      </w:r>
      <w:r>
        <w:rPr>
          <w:rFonts w:asciiTheme="minorEastAsia" w:hAnsiTheme="minorEastAsia"/>
          <w:sz w:val="24"/>
          <w:szCs w:val="28"/>
          <w:lang w:val="de-DE"/>
        </w:rPr>
        <w:t>NSI/ASHRAE 110则聚焦于建立一套统一的性能测试方法，通过面风速测定与示踪气体泄漏测试，量化评估通风柜在出厂、安装和使用过程中防止污染物外漏的能力。国外的标准体系均无适用于核电系统用负压通风柜的专用标准。</w:t>
      </w:r>
    </w:p>
    <w:p w14:paraId="795446D6">
      <w:pPr>
        <w:numPr>
          <w:ilvl w:val="0"/>
          <w:numId w:val="1"/>
        </w:numPr>
        <w:spacing w:before="240" w:after="24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主要</w:t>
      </w:r>
      <w:r>
        <w:rPr>
          <w:rFonts w:ascii="黑体" w:hAnsi="宋体" w:eastAsia="黑体"/>
          <w:sz w:val="28"/>
          <w:szCs w:val="28"/>
        </w:rPr>
        <w:t>试验验证</w:t>
      </w:r>
      <w:r>
        <w:rPr>
          <w:rFonts w:hint="eastAsia" w:ascii="黑体" w:hAnsi="宋体" w:eastAsia="黑体"/>
          <w:sz w:val="28"/>
          <w:szCs w:val="28"/>
        </w:rPr>
        <w:t>情况和预期达到的效果</w:t>
      </w:r>
    </w:p>
    <w:p w14:paraId="735288D1">
      <w:pPr>
        <w:spacing w:line="360" w:lineRule="auto"/>
        <w:ind w:firstLine="48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本标准发布后实施后，</w:t>
      </w:r>
      <w:r>
        <w:rPr>
          <w:rFonts w:ascii="Calibri" w:hAnsi="Calibri" w:eastAsia="宋体" w:cs="Times New Roman"/>
          <w:sz w:val="24"/>
        </w:rPr>
        <w:t>为通风柜制造厂家提供专业、权威的适用于高温堆通风柜的技术要求、试验方法和检验规则，有利于吸引更多行业厂家参与竞标。</w:t>
      </w:r>
    </w:p>
    <w:p w14:paraId="141BCBBC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与现行法律、法规、政策及相关标准的协调性</w:t>
      </w:r>
    </w:p>
    <w:p w14:paraId="18A6F20A">
      <w:pPr>
        <w:pStyle w:val="24"/>
        <w:spacing w:line="360" w:lineRule="auto"/>
        <w:ind w:firstLine="480"/>
        <w:rPr>
          <w:rFonts w:ascii="黑体" w:hAnsi="宋体"/>
          <w:sz w:val="24"/>
          <w:szCs w:val="28"/>
          <w:lang w:val="de-DE"/>
        </w:rPr>
      </w:pPr>
      <w:r>
        <w:rPr>
          <w:rFonts w:hint="eastAsia" w:ascii="黑体" w:hAnsi="宋体"/>
          <w:sz w:val="24"/>
          <w:szCs w:val="28"/>
          <w:lang w:val="de-DE"/>
        </w:rPr>
        <w:t>本标准技术内容符合国家核安全技术法规</w:t>
      </w:r>
      <w:r>
        <w:rPr>
          <w:rFonts w:hint="eastAsia" w:ascii="黑体" w:hAnsi="宋体"/>
          <w:sz w:val="24"/>
          <w:szCs w:val="28"/>
        </w:rPr>
        <w:t>及</w:t>
      </w:r>
      <w:r>
        <w:rPr>
          <w:rFonts w:hint="eastAsia" w:ascii="黑体" w:hAnsi="宋体"/>
          <w:sz w:val="24"/>
          <w:szCs w:val="28"/>
          <w:lang w:val="de-DE"/>
        </w:rPr>
        <w:t>导则要求。本标准技术内容</w:t>
      </w:r>
      <w:r>
        <w:rPr>
          <w:rFonts w:hint="eastAsia" w:asciiTheme="minorEastAsia" w:hAnsiTheme="minorEastAsia"/>
          <w:sz w:val="24"/>
          <w:szCs w:val="28"/>
          <w:lang w:val="de-DE"/>
        </w:rPr>
        <w:t>与行业标准</w:t>
      </w:r>
      <w:r>
        <w:rPr>
          <w:rFonts w:asciiTheme="minorEastAsia" w:hAnsiTheme="minorEastAsia"/>
          <w:sz w:val="24"/>
          <w:szCs w:val="28"/>
          <w:lang w:val="de-DE"/>
        </w:rPr>
        <w:t>JB/T 6412</w:t>
      </w:r>
      <w:r>
        <w:rPr>
          <w:rFonts w:hint="eastAsia" w:asciiTheme="minorEastAsia" w:hAnsiTheme="minorEastAsia"/>
          <w:sz w:val="24"/>
          <w:szCs w:val="28"/>
          <w:lang w:val="de-DE"/>
        </w:rPr>
        <w:t>《排风柜》、</w:t>
      </w:r>
      <w:r>
        <w:rPr>
          <w:rFonts w:hint="eastAsia" w:asciiTheme="minorEastAsia" w:hAnsiTheme="minorEastAsia"/>
          <w:sz w:val="24"/>
          <w:szCs w:val="28"/>
        </w:rPr>
        <w:t>T/CNS</w:t>
      </w:r>
      <w:r>
        <w:rPr>
          <w:rFonts w:asciiTheme="minorEastAsia" w:hAnsiTheme="minorEastAsia"/>
          <w:sz w:val="24"/>
          <w:szCs w:val="28"/>
          <w:lang w:val="de-DE"/>
        </w:rPr>
        <w:t xml:space="preserve"> 35</w:t>
      </w:r>
      <w:r>
        <w:rPr>
          <w:rFonts w:hint="eastAsia" w:ascii="黑体" w:hAnsi="宋体"/>
          <w:sz w:val="24"/>
          <w:szCs w:val="28"/>
          <w:lang w:val="de-DE"/>
        </w:rPr>
        <w:t>《高温气冷堆核动力厂一回路气体采样和分析系统设计准则》协调一致。</w:t>
      </w:r>
    </w:p>
    <w:p w14:paraId="3E093D75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贯彻标准的要求和措施建议</w:t>
      </w:r>
    </w:p>
    <w:p w14:paraId="36E4EBAB">
      <w:pPr>
        <w:spacing w:before="240" w:after="240" w:line="360" w:lineRule="auto"/>
        <w:rPr>
          <w:rFonts w:ascii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 </w:t>
      </w:r>
      <w:r>
        <w:rPr>
          <w:rFonts w:hint="eastAsia" w:ascii="黑体" w:hAnsi="宋体" w:eastAsia="宋体" w:cs="宋体"/>
          <w:kern w:val="0"/>
          <w:sz w:val="24"/>
          <w:szCs w:val="28"/>
        </w:rPr>
        <w:t>本标准发布后，建议</w:t>
      </w:r>
      <w:r>
        <w:rPr>
          <w:rFonts w:ascii="黑体" w:hAnsi="宋体" w:eastAsia="宋体" w:cs="宋体"/>
          <w:kern w:val="0"/>
          <w:sz w:val="24"/>
          <w:szCs w:val="28"/>
        </w:rPr>
        <w:t>高温气冷堆</w:t>
      </w:r>
      <w:r>
        <w:rPr>
          <w:rFonts w:hint="eastAsia" w:ascii="黑体" w:hAnsi="宋体" w:eastAsia="宋体" w:cs="宋体"/>
          <w:kern w:val="0"/>
          <w:sz w:val="24"/>
          <w:szCs w:val="28"/>
        </w:rPr>
        <w:t>等相关设计、运营单位采用。本标准发布后立即实施</w:t>
      </w:r>
      <w:r>
        <w:rPr>
          <w:rFonts w:hint="eastAsia" w:asciiTheme="minorEastAsia" w:hAnsiTheme="minorEastAsia"/>
          <w:sz w:val="24"/>
          <w:szCs w:val="28"/>
        </w:rPr>
        <w:t>。</w:t>
      </w:r>
    </w:p>
    <w:p w14:paraId="3877FF6A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重大分歧意见的处理经过和依据</w:t>
      </w:r>
    </w:p>
    <w:p w14:paraId="0AFAEDCB">
      <w:pPr>
        <w:pStyle w:val="24"/>
        <w:spacing w:line="360" w:lineRule="auto"/>
        <w:ind w:firstLine="480"/>
        <w:rPr>
          <w:rFonts w:ascii="黑体" w:hAnsi="宋体"/>
          <w:sz w:val="24"/>
          <w:szCs w:val="28"/>
          <w:lang w:val="de-DE"/>
        </w:rPr>
      </w:pPr>
      <w:r>
        <w:rPr>
          <w:rFonts w:hint="eastAsia" w:ascii="黑体" w:hAnsi="宋体"/>
          <w:sz w:val="24"/>
          <w:szCs w:val="28"/>
          <w:lang w:val="de-DE"/>
        </w:rPr>
        <w:t>本标准起草过程中无重大分歧意见。</w:t>
      </w:r>
    </w:p>
    <w:p w14:paraId="02813390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涉及专利的有关说明</w:t>
      </w:r>
    </w:p>
    <w:p w14:paraId="2AD1212B">
      <w:pPr>
        <w:pStyle w:val="24"/>
        <w:spacing w:line="360" w:lineRule="auto"/>
        <w:ind w:firstLine="480"/>
        <w:rPr>
          <w:rFonts w:ascii="黑体" w:hAnsi="宋体"/>
          <w:sz w:val="24"/>
          <w:szCs w:val="28"/>
          <w:lang w:val="de-DE"/>
        </w:rPr>
      </w:pPr>
      <w:r>
        <w:rPr>
          <w:rFonts w:hint="eastAsia" w:ascii="黑体" w:hAnsi="宋体"/>
          <w:sz w:val="24"/>
          <w:szCs w:val="28"/>
          <w:lang w:val="de-DE"/>
        </w:rPr>
        <w:t>本标准不涉及专利。</w:t>
      </w:r>
    </w:p>
    <w:p w14:paraId="6A0ABF21">
      <w:pPr>
        <w:numPr>
          <w:ilvl w:val="0"/>
          <w:numId w:val="1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其它事项</w:t>
      </w:r>
    </w:p>
    <w:p w14:paraId="02EED62F">
      <w:pPr>
        <w:spacing w:line="360" w:lineRule="auto"/>
        <w:ind w:firstLine="480" w:firstLineChars="200"/>
        <w:rPr>
          <w:rFonts w:ascii="黑体" w:eastAsia="黑体"/>
          <w:sz w:val="28"/>
          <w:szCs w:val="28"/>
        </w:rPr>
      </w:pPr>
      <w:r>
        <w:rPr>
          <w:rFonts w:hint="eastAsia"/>
          <w:sz w:val="24"/>
        </w:rPr>
        <w:t>无/调整申请等情况</w:t>
      </w:r>
      <w:r>
        <w:rPr>
          <w:rFonts w:hint="eastAsia" w:ascii="黑体" w:hAnsi="宋体"/>
          <w:sz w:val="24"/>
          <w:szCs w:val="28"/>
          <w:lang w:val="de-DE"/>
        </w:rPr>
        <w:t>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EBDC0">
    <w:pPr>
      <w:pStyle w:val="8"/>
      <w:jc w:val="center"/>
    </w:pPr>
  </w:p>
  <w:p w14:paraId="3735267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0474950"/>
    </w:sdtPr>
    <w:sdtEndPr>
      <w:rPr>
        <w:rFonts w:asciiTheme="minorEastAsia" w:hAnsiTheme="minorEastAsia"/>
        <w:sz w:val="21"/>
        <w:szCs w:val="21"/>
      </w:rPr>
    </w:sdtEndPr>
    <w:sdtContent>
      <w:p w14:paraId="2D70635B">
        <w:pPr>
          <w:pStyle w:val="8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PAGE   \* MERGEFORMAT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4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 w14:paraId="1793BE5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4E3D38"/>
    <w:multiLevelType w:val="multilevel"/>
    <w:tmpl w:val="2D4E3D38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  <w:sz w:val="28"/>
        <w:szCs w:val="28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3D5D6A"/>
    <w:rsid w:val="0001035E"/>
    <w:rsid w:val="00011578"/>
    <w:rsid w:val="00020F20"/>
    <w:rsid w:val="00021430"/>
    <w:rsid w:val="00024C04"/>
    <w:rsid w:val="00032502"/>
    <w:rsid w:val="000352E2"/>
    <w:rsid w:val="00036EF6"/>
    <w:rsid w:val="00040B2D"/>
    <w:rsid w:val="00053FEC"/>
    <w:rsid w:val="0006333A"/>
    <w:rsid w:val="0006411B"/>
    <w:rsid w:val="0006596B"/>
    <w:rsid w:val="00066DB3"/>
    <w:rsid w:val="0008573B"/>
    <w:rsid w:val="00087647"/>
    <w:rsid w:val="000914F6"/>
    <w:rsid w:val="00091E9C"/>
    <w:rsid w:val="000A366A"/>
    <w:rsid w:val="000B7EA5"/>
    <w:rsid w:val="000C4AA1"/>
    <w:rsid w:val="000C6F58"/>
    <w:rsid w:val="000E4C1C"/>
    <w:rsid w:val="000E4FFF"/>
    <w:rsid w:val="000E59E1"/>
    <w:rsid w:val="000E6B69"/>
    <w:rsid w:val="000F2FED"/>
    <w:rsid w:val="00120BF8"/>
    <w:rsid w:val="00121CB4"/>
    <w:rsid w:val="00135FE4"/>
    <w:rsid w:val="00162AC3"/>
    <w:rsid w:val="001662F4"/>
    <w:rsid w:val="00171731"/>
    <w:rsid w:val="0018410B"/>
    <w:rsid w:val="0018750C"/>
    <w:rsid w:val="001A04B6"/>
    <w:rsid w:val="001C3A26"/>
    <w:rsid w:val="001C4ED9"/>
    <w:rsid w:val="001D1932"/>
    <w:rsid w:val="001D1C95"/>
    <w:rsid w:val="001D53B0"/>
    <w:rsid w:val="001D5C80"/>
    <w:rsid w:val="001D7C70"/>
    <w:rsid w:val="001F3979"/>
    <w:rsid w:val="001F66D1"/>
    <w:rsid w:val="001F6DB1"/>
    <w:rsid w:val="001F78E8"/>
    <w:rsid w:val="002017F4"/>
    <w:rsid w:val="00222232"/>
    <w:rsid w:val="002248E2"/>
    <w:rsid w:val="00230930"/>
    <w:rsid w:val="00231B37"/>
    <w:rsid w:val="0023271D"/>
    <w:rsid w:val="002534AE"/>
    <w:rsid w:val="00255933"/>
    <w:rsid w:val="00256CF3"/>
    <w:rsid w:val="0026281F"/>
    <w:rsid w:val="00262F65"/>
    <w:rsid w:val="00263F77"/>
    <w:rsid w:val="00271E11"/>
    <w:rsid w:val="00272FB6"/>
    <w:rsid w:val="00277521"/>
    <w:rsid w:val="002837DD"/>
    <w:rsid w:val="00286D06"/>
    <w:rsid w:val="002A3631"/>
    <w:rsid w:val="002B4EF8"/>
    <w:rsid w:val="002C70FD"/>
    <w:rsid w:val="002E7FC9"/>
    <w:rsid w:val="002F19CD"/>
    <w:rsid w:val="003023D6"/>
    <w:rsid w:val="003054DF"/>
    <w:rsid w:val="00347448"/>
    <w:rsid w:val="003477F4"/>
    <w:rsid w:val="00360720"/>
    <w:rsid w:val="00360880"/>
    <w:rsid w:val="0036585E"/>
    <w:rsid w:val="00374640"/>
    <w:rsid w:val="00376793"/>
    <w:rsid w:val="00377A70"/>
    <w:rsid w:val="00380A66"/>
    <w:rsid w:val="00384434"/>
    <w:rsid w:val="0039353C"/>
    <w:rsid w:val="00397253"/>
    <w:rsid w:val="003A7847"/>
    <w:rsid w:val="003C1750"/>
    <w:rsid w:val="003D3713"/>
    <w:rsid w:val="003D5D6A"/>
    <w:rsid w:val="003D6964"/>
    <w:rsid w:val="003D73E7"/>
    <w:rsid w:val="003E0D1B"/>
    <w:rsid w:val="003F4F38"/>
    <w:rsid w:val="0041093F"/>
    <w:rsid w:val="0041513D"/>
    <w:rsid w:val="00421780"/>
    <w:rsid w:val="00434B44"/>
    <w:rsid w:val="004351D2"/>
    <w:rsid w:val="004570FA"/>
    <w:rsid w:val="004629BF"/>
    <w:rsid w:val="004818B1"/>
    <w:rsid w:val="00482C0B"/>
    <w:rsid w:val="00487D8A"/>
    <w:rsid w:val="0049012E"/>
    <w:rsid w:val="00493B74"/>
    <w:rsid w:val="00494F73"/>
    <w:rsid w:val="0049573B"/>
    <w:rsid w:val="004A39CA"/>
    <w:rsid w:val="004B012F"/>
    <w:rsid w:val="004B1ED8"/>
    <w:rsid w:val="004B50B4"/>
    <w:rsid w:val="004C1E82"/>
    <w:rsid w:val="004D35E4"/>
    <w:rsid w:val="004D5C7C"/>
    <w:rsid w:val="004E1878"/>
    <w:rsid w:val="004F63A1"/>
    <w:rsid w:val="00501090"/>
    <w:rsid w:val="00501172"/>
    <w:rsid w:val="00510B30"/>
    <w:rsid w:val="00535B6B"/>
    <w:rsid w:val="005635AE"/>
    <w:rsid w:val="00565379"/>
    <w:rsid w:val="00577081"/>
    <w:rsid w:val="00583F07"/>
    <w:rsid w:val="00592463"/>
    <w:rsid w:val="00593417"/>
    <w:rsid w:val="005A4CCB"/>
    <w:rsid w:val="005C060A"/>
    <w:rsid w:val="005D2B6F"/>
    <w:rsid w:val="005D459D"/>
    <w:rsid w:val="005D711A"/>
    <w:rsid w:val="005E7DA2"/>
    <w:rsid w:val="005F1089"/>
    <w:rsid w:val="005F324A"/>
    <w:rsid w:val="006015F7"/>
    <w:rsid w:val="00603D91"/>
    <w:rsid w:val="00604D60"/>
    <w:rsid w:val="006114A8"/>
    <w:rsid w:val="00624A40"/>
    <w:rsid w:val="00656297"/>
    <w:rsid w:val="006807F9"/>
    <w:rsid w:val="006842A7"/>
    <w:rsid w:val="0069218C"/>
    <w:rsid w:val="006A3ED7"/>
    <w:rsid w:val="006A5A31"/>
    <w:rsid w:val="006B0792"/>
    <w:rsid w:val="006C31BE"/>
    <w:rsid w:val="006C67AB"/>
    <w:rsid w:val="006D2527"/>
    <w:rsid w:val="006D2A2A"/>
    <w:rsid w:val="006D654C"/>
    <w:rsid w:val="006E39BB"/>
    <w:rsid w:val="006E3E72"/>
    <w:rsid w:val="006F71DF"/>
    <w:rsid w:val="007003A4"/>
    <w:rsid w:val="00702A34"/>
    <w:rsid w:val="007037BA"/>
    <w:rsid w:val="00726B81"/>
    <w:rsid w:val="0073764F"/>
    <w:rsid w:val="00737BD6"/>
    <w:rsid w:val="00741DD1"/>
    <w:rsid w:val="00762A7F"/>
    <w:rsid w:val="007640A6"/>
    <w:rsid w:val="00765F81"/>
    <w:rsid w:val="007823B4"/>
    <w:rsid w:val="007945C1"/>
    <w:rsid w:val="007C6FFA"/>
    <w:rsid w:val="007E7450"/>
    <w:rsid w:val="008049C5"/>
    <w:rsid w:val="00822669"/>
    <w:rsid w:val="0082296F"/>
    <w:rsid w:val="008272B6"/>
    <w:rsid w:val="00830678"/>
    <w:rsid w:val="00832DCD"/>
    <w:rsid w:val="00837FAE"/>
    <w:rsid w:val="00841E8E"/>
    <w:rsid w:val="00857923"/>
    <w:rsid w:val="00860227"/>
    <w:rsid w:val="00861D8F"/>
    <w:rsid w:val="00862BB9"/>
    <w:rsid w:val="0087331D"/>
    <w:rsid w:val="008948AF"/>
    <w:rsid w:val="00897716"/>
    <w:rsid w:val="008B7981"/>
    <w:rsid w:val="008C08D5"/>
    <w:rsid w:val="008C15E6"/>
    <w:rsid w:val="008C1B69"/>
    <w:rsid w:val="008D2FD7"/>
    <w:rsid w:val="008D5EBD"/>
    <w:rsid w:val="008D5EDF"/>
    <w:rsid w:val="008E636A"/>
    <w:rsid w:val="00911329"/>
    <w:rsid w:val="00923AC0"/>
    <w:rsid w:val="00930ED7"/>
    <w:rsid w:val="00943FCA"/>
    <w:rsid w:val="00944650"/>
    <w:rsid w:val="00946F21"/>
    <w:rsid w:val="00953C06"/>
    <w:rsid w:val="009656CB"/>
    <w:rsid w:val="009666A8"/>
    <w:rsid w:val="0096672D"/>
    <w:rsid w:val="00980E0F"/>
    <w:rsid w:val="00991817"/>
    <w:rsid w:val="009A07E0"/>
    <w:rsid w:val="009A3084"/>
    <w:rsid w:val="009A3AEB"/>
    <w:rsid w:val="009C2184"/>
    <w:rsid w:val="009D5501"/>
    <w:rsid w:val="009D778E"/>
    <w:rsid w:val="009E1897"/>
    <w:rsid w:val="009E3E67"/>
    <w:rsid w:val="00A02C1A"/>
    <w:rsid w:val="00A036B1"/>
    <w:rsid w:val="00A1629E"/>
    <w:rsid w:val="00A23528"/>
    <w:rsid w:val="00A332CC"/>
    <w:rsid w:val="00A3410F"/>
    <w:rsid w:val="00A40F2B"/>
    <w:rsid w:val="00A41EDF"/>
    <w:rsid w:val="00A454E1"/>
    <w:rsid w:val="00A513CB"/>
    <w:rsid w:val="00A52E1A"/>
    <w:rsid w:val="00A539F9"/>
    <w:rsid w:val="00A80789"/>
    <w:rsid w:val="00A85ED0"/>
    <w:rsid w:val="00A94B8A"/>
    <w:rsid w:val="00AA0012"/>
    <w:rsid w:val="00AA1D40"/>
    <w:rsid w:val="00AA7212"/>
    <w:rsid w:val="00AB08D7"/>
    <w:rsid w:val="00AB1BC4"/>
    <w:rsid w:val="00AB7EB3"/>
    <w:rsid w:val="00AC6EC0"/>
    <w:rsid w:val="00AD0166"/>
    <w:rsid w:val="00AD1385"/>
    <w:rsid w:val="00AD342B"/>
    <w:rsid w:val="00AD4BFC"/>
    <w:rsid w:val="00AE2E13"/>
    <w:rsid w:val="00AE4E5D"/>
    <w:rsid w:val="00AF7C5D"/>
    <w:rsid w:val="00B1176B"/>
    <w:rsid w:val="00B23A49"/>
    <w:rsid w:val="00B27905"/>
    <w:rsid w:val="00B349BD"/>
    <w:rsid w:val="00B43477"/>
    <w:rsid w:val="00B464BF"/>
    <w:rsid w:val="00B46840"/>
    <w:rsid w:val="00B565BB"/>
    <w:rsid w:val="00B5725C"/>
    <w:rsid w:val="00B66BA8"/>
    <w:rsid w:val="00B67AB9"/>
    <w:rsid w:val="00B75C75"/>
    <w:rsid w:val="00B80B98"/>
    <w:rsid w:val="00B833F4"/>
    <w:rsid w:val="00B86AC2"/>
    <w:rsid w:val="00B87C55"/>
    <w:rsid w:val="00B90D7E"/>
    <w:rsid w:val="00B94209"/>
    <w:rsid w:val="00BA5C3D"/>
    <w:rsid w:val="00BB232B"/>
    <w:rsid w:val="00BB5C26"/>
    <w:rsid w:val="00BE5AE0"/>
    <w:rsid w:val="00BF3CE3"/>
    <w:rsid w:val="00BF53A9"/>
    <w:rsid w:val="00BF6080"/>
    <w:rsid w:val="00C10AE7"/>
    <w:rsid w:val="00C158DF"/>
    <w:rsid w:val="00C37E1D"/>
    <w:rsid w:val="00C37F78"/>
    <w:rsid w:val="00C632FF"/>
    <w:rsid w:val="00C70CFC"/>
    <w:rsid w:val="00C7638B"/>
    <w:rsid w:val="00C82498"/>
    <w:rsid w:val="00CA1A9A"/>
    <w:rsid w:val="00CA4DB1"/>
    <w:rsid w:val="00CB4F95"/>
    <w:rsid w:val="00CC5982"/>
    <w:rsid w:val="00CE54C8"/>
    <w:rsid w:val="00CE5DFC"/>
    <w:rsid w:val="00CF40FD"/>
    <w:rsid w:val="00D04AF0"/>
    <w:rsid w:val="00D11377"/>
    <w:rsid w:val="00D12DB6"/>
    <w:rsid w:val="00D12F8B"/>
    <w:rsid w:val="00D377FB"/>
    <w:rsid w:val="00D747EC"/>
    <w:rsid w:val="00D82D77"/>
    <w:rsid w:val="00D86897"/>
    <w:rsid w:val="00D90C74"/>
    <w:rsid w:val="00D90F68"/>
    <w:rsid w:val="00DA0699"/>
    <w:rsid w:val="00DA0763"/>
    <w:rsid w:val="00DC337B"/>
    <w:rsid w:val="00DD3CF8"/>
    <w:rsid w:val="00DD4EE0"/>
    <w:rsid w:val="00DE1542"/>
    <w:rsid w:val="00DE6559"/>
    <w:rsid w:val="00E00EC4"/>
    <w:rsid w:val="00E05368"/>
    <w:rsid w:val="00E10B69"/>
    <w:rsid w:val="00E360CB"/>
    <w:rsid w:val="00E36FC3"/>
    <w:rsid w:val="00E76A7B"/>
    <w:rsid w:val="00E806B0"/>
    <w:rsid w:val="00E90100"/>
    <w:rsid w:val="00E9625E"/>
    <w:rsid w:val="00EA4970"/>
    <w:rsid w:val="00EB3A01"/>
    <w:rsid w:val="00EB650A"/>
    <w:rsid w:val="00EC22BD"/>
    <w:rsid w:val="00EE5E5C"/>
    <w:rsid w:val="00EF0EB4"/>
    <w:rsid w:val="00EF1882"/>
    <w:rsid w:val="00EF4C74"/>
    <w:rsid w:val="00F0288E"/>
    <w:rsid w:val="00F147EB"/>
    <w:rsid w:val="00F17050"/>
    <w:rsid w:val="00F30D51"/>
    <w:rsid w:val="00F35566"/>
    <w:rsid w:val="00F35DF2"/>
    <w:rsid w:val="00F3622B"/>
    <w:rsid w:val="00F424E8"/>
    <w:rsid w:val="00F45DC7"/>
    <w:rsid w:val="00F605AE"/>
    <w:rsid w:val="00F63CE9"/>
    <w:rsid w:val="00F67197"/>
    <w:rsid w:val="00F705C5"/>
    <w:rsid w:val="00F90CC9"/>
    <w:rsid w:val="00F915CB"/>
    <w:rsid w:val="00F9207C"/>
    <w:rsid w:val="00F95E18"/>
    <w:rsid w:val="00FA44BA"/>
    <w:rsid w:val="00FA6510"/>
    <w:rsid w:val="00FC3B05"/>
    <w:rsid w:val="00FD2C1D"/>
    <w:rsid w:val="00FD3947"/>
    <w:rsid w:val="00FE741B"/>
    <w:rsid w:val="099044F7"/>
    <w:rsid w:val="2C041C52"/>
    <w:rsid w:val="37810F86"/>
    <w:rsid w:val="401C0E4D"/>
    <w:rsid w:val="465F41FD"/>
    <w:rsid w:val="5B9067AF"/>
    <w:rsid w:val="79FF24CF"/>
    <w:rsid w:val="7C77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3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eastAsia="en-US"/>
    </w:rPr>
  </w:style>
  <w:style w:type="paragraph" w:styleId="7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28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1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99"/>
  </w:style>
  <w:style w:type="character" w:styleId="16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styleId="17">
    <w:name w:val="footnote reference"/>
    <w:basedOn w:val="14"/>
    <w:semiHidden/>
    <w:unhideWhenUsed/>
    <w:qFormat/>
    <w:uiPriority w:val="99"/>
    <w:rPr>
      <w:vertAlign w:val="superscript"/>
    </w:rPr>
  </w:style>
  <w:style w:type="character" w:customStyle="1" w:styleId="18">
    <w:name w:val="页眉 Char"/>
    <w:basedOn w:val="14"/>
    <w:link w:val="9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8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1 Char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2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Char"/>
    <w:basedOn w:val="14"/>
    <w:link w:val="4"/>
    <w:qFormat/>
    <w:uiPriority w:val="9"/>
    <w:rPr>
      <w:b/>
      <w:bCs/>
      <w:sz w:val="32"/>
      <w:szCs w:val="32"/>
    </w:rPr>
  </w:style>
  <w:style w:type="paragraph" w:customStyle="1" w:styleId="24">
    <w:name w:val="段"/>
    <w:link w:val="25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character" w:customStyle="1" w:styleId="25">
    <w:name w:val="段 Char"/>
    <w:basedOn w:val="14"/>
    <w:link w:val="24"/>
    <w:qFormat/>
    <w:locked/>
    <w:uiPriority w:val="99"/>
    <w:rPr>
      <w:rFonts w:ascii="宋体" w:hAnsi="Times New Roman" w:eastAsia="宋体" w:cs="宋体"/>
      <w:kern w:val="0"/>
      <w:szCs w:val="21"/>
    </w:rPr>
  </w:style>
  <w:style w:type="paragraph" w:customStyle="1" w:styleId="26">
    <w:name w:val="CM49"/>
    <w:basedOn w:val="1"/>
    <w:next w:val="1"/>
    <w:qFormat/>
    <w:uiPriority w:val="0"/>
    <w:pPr>
      <w:autoSpaceDE w:val="0"/>
      <w:autoSpaceDN w:val="0"/>
      <w:adjustRightInd w:val="0"/>
      <w:spacing w:after="305"/>
      <w:jc w:val="left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27">
    <w:name w:val="批注框文本 Char"/>
    <w:basedOn w:val="14"/>
    <w:link w:val="7"/>
    <w:semiHidden/>
    <w:qFormat/>
    <w:uiPriority w:val="99"/>
    <w:rPr>
      <w:sz w:val="18"/>
      <w:szCs w:val="18"/>
    </w:rPr>
  </w:style>
  <w:style w:type="character" w:customStyle="1" w:styleId="28">
    <w:name w:val="脚注文本 Char"/>
    <w:basedOn w:val="14"/>
    <w:link w:val="10"/>
    <w:semiHidden/>
    <w:qFormat/>
    <w:uiPriority w:val="99"/>
    <w:rPr>
      <w:sz w:val="18"/>
      <w:szCs w:val="18"/>
    </w:rPr>
  </w:style>
  <w:style w:type="character" w:customStyle="1" w:styleId="29">
    <w:name w:val="批注文字 Char"/>
    <w:basedOn w:val="14"/>
    <w:link w:val="5"/>
    <w:semiHidden/>
    <w:qFormat/>
    <w:uiPriority w:val="99"/>
  </w:style>
  <w:style w:type="character" w:customStyle="1" w:styleId="30">
    <w:name w:val="标题 Char"/>
    <w:basedOn w:val="14"/>
    <w:link w:val="11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1">
    <w:name w:val="正文文本 Char"/>
    <w:basedOn w:val="14"/>
    <w:link w:val="6"/>
    <w:qFormat/>
    <w:uiPriority w:val="1"/>
    <w:rPr>
      <w:rFonts w:ascii="宋体" w:hAnsi="宋体" w:eastAsia="宋体" w:cs="宋体"/>
      <w:kern w:val="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2014-02-18T00:00:00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6</Pages>
  <Words>2891</Words>
  <Characters>3086</Characters>
  <Lines>22</Lines>
  <Paragraphs>6</Paragraphs>
  <TotalTime>0</TotalTime>
  <ScaleCrop>false</ScaleCrop>
  <LinksUpToDate>false</LinksUpToDate>
  <CharactersWithSpaces>3110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2014-02-18T02:12:00Z</dcterms:created>
  <dc:creator>deeplm</dc:creator>
  <cp:lastModifiedBy>momo</cp:lastModifiedBy>
  <cp:lastPrinted>2014-03-17T03:12:00Z</cp:lastPrinted>
  <dcterms:modified xsi:type="dcterms:W3CDTF">2026-07-13T07:56:27Z</dcterms:modified>
  <dc:title>认可程序说明和背景介绍</dc:title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eyJoZGlkIjoiZTk2MjMzMDU2MGYxYTJiMTM5YWVmNmYxZWI1OTU3NzUiLCJ1c2VySWQiOiIxNTc4NjQxMzMwIn0=</vt:lpwstr>
  </property>
  <property fmtid="{D5CDD505-2E9C-101B-9397-08002B2CF9AE}" pid="3" name="KSOProductBuildVer">
    <vt:lpwstr>2052-12.1.0.25225</vt:lpwstr>
  </property>
  <property fmtid="{D5CDD505-2E9C-101B-9397-08002B2CF9AE}" pid="4" name="ICV">
    <vt:lpwstr>92E11124750B4986BB0337F331991277_12</vt:lpwstr>
  </property>
</Properties>
</file>